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Bright Minds Biosciences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 no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Adage Capital Management,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335,000.00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335,000.00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335,000.00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3.41 %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Robert Atchinson</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335,000.00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335,000.00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335,000.00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3.41 %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Phillip Gross</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335,000.00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335,000.00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335,000.00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3.41 %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60"/>
        <w:gridCol w:w="8890"/>
        <w:gridCol w:w="155"/>
      </w:tblGrid>
      <w:tr>
        <w:trPr/>
        <w:tc>
          <w:tcPr>
            <w:tcW w:w="1160" w:type="dxa"/>
            <w:tcBorders/>
            <w:vAlign w:val="center"/>
          </w:tcPr>
          <w:p>
            <w:pPr>
              <w:pStyle w:val="TableContents"/>
              <w:bidi w:val="0"/>
              <w:spacing w:before="0" w:after="283"/>
              <w:jc w:val="left"/>
              <w:rPr/>
            </w:pPr>
            <w:r>
              <w:rPr/>
              <w:t>Item 1.</w:t>
            </w:r>
          </w:p>
        </w:tc>
        <w:tc>
          <w:tcPr>
            <w:tcW w:w="889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jc w:val="left"/>
              <w:rPr/>
            </w:pPr>
            <w:r>
              <w:rPr/>
              <w:t xml:space="preserve">Name of issuer: </w:t>
            </w:r>
          </w:p>
          <w:p>
            <w:pPr>
              <w:pStyle w:val="TableContents"/>
              <w:bidi w:val="0"/>
              <w:spacing w:before="0" w:after="0"/>
              <w:jc w:val="left"/>
              <w:rPr/>
            </w:pPr>
            <w:r>
              <w:rPr/>
              <w:t>Bright Minds Biosciences Inc.</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400 N Aberdeen Street, Suite 900, Chicago, IL 60642</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2.</w:t>
            </w:r>
          </w:p>
        </w:tc>
        <w:tc>
          <w:tcPr>
            <w:tcW w:w="889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Adage Capital Management, L.P., a Delaware limited partnership ("ACM"), as the investment manager of Adage Capital Partners, L.P., a Delaware limited partnership ("ACP"), with respect to the common shares, no par value ("Common Shares"), of Bright Minds Biosciences Inc., a corporation incorporated under the laws of the Province of British Columbia, Canada (the "Company"), directly held by ACP; (ii) Robert Atchinson ("Mr. Atchinson"), as (1) managing member of Adage Capital Advisors, L.L.C., a limited liability company organized under the laws of the State of Delaware ("ACA"), managing member of Adage Capital Partners GP, L.L.C., a limited liability company organized under the laws of the State of Delaware ("ACPGP"), general partner of ACP and (2) managing member of Adage Capital Partners LLC, a Delaware limited liability company ("ACPLLC"), general partner of ACM, with respect to the Common Shares directly held by ACP; and (iii) Phillip Gross ("Mr. Gross"), as (1) managing member of ACA, managing member of ACPGP and (2) managing member of ACPLLC, general partner of ACM, with respect to the Common Shares directly held by ACP. The foregoing persons are hereinafter sometimes collectively referred to as the "Reporting Persons." Any disclosures herein with respect to persons other than the Reporting Persons are made on information and belief after making inquiry to the appropriate party. The filing of this statement should not be construed in and of itself as an admission by any Reporting Person as to beneficial ownership of the securities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business office of each of the Reporting Persons is 200 Clarendon Street, 52nd Floor, Boston, Massachusetts 02116.</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jc w:val="left"/>
              <w:rPr/>
            </w:pPr>
            <w:r>
              <w:rPr/>
              <w:t xml:space="preserve">Citizenship: </w:t>
            </w:r>
          </w:p>
          <w:p>
            <w:pPr>
              <w:pStyle w:val="TableContents"/>
              <w:bidi w:val="0"/>
              <w:spacing w:before="0" w:after="0"/>
              <w:jc w:val="left"/>
              <w:rPr/>
            </w:pPr>
            <w:r>
              <w:rPr/>
              <w:t>ACM is a limited partnership organized under the laws of the State of Delaware. Messrs. Gross and Atchinson are citizens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(d)</w:t>
            </w:r>
          </w:p>
        </w:tc>
        <w:tc>
          <w:tcPr>
            <w:tcW w:w="889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 no par value</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(e)</w:t>
            </w:r>
          </w:p>
        </w:tc>
        <w:tc>
          <w:tcPr>
            <w:tcW w:w="889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3.</w:t>
            </w:r>
          </w:p>
        </w:tc>
        <w:tc>
          <w:tcPr>
            <w:tcW w:w="889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(d)</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(e)</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(f)</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(g)</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(h)</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(j)</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(k)</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9045" w:type="dxa"/>
            <w:gridSpan w:val="2"/>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4.</w:t>
            </w:r>
          </w:p>
        </w:tc>
        <w:tc>
          <w:tcPr>
            <w:tcW w:w="889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The percentage set forth in this Schedule 13G is calculated based upon an aggregate of 9,812,061 Common Shares outstanding as of May 15, 2026, as reported in the Company's Management Discussion and Analysis attached as Exhibit 99.2 to the Report of Foreign Private Issuer on Form 6-K, filed with the Securities and Exchange Commission on May 20, 2026.</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3.41%  %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5.</w:t>
            </w:r>
          </w:p>
        </w:tc>
        <w:tc>
          <w:tcPr>
            <w:tcW w:w="889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6.</w:t>
            </w:r>
          </w:p>
        </w:tc>
        <w:tc>
          <w:tcPr>
            <w:tcW w:w="889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7.</w:t>
            </w:r>
          </w:p>
        </w:tc>
        <w:tc>
          <w:tcPr>
            <w:tcW w:w="889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8.</w:t>
            </w:r>
          </w:p>
        </w:tc>
        <w:tc>
          <w:tcPr>
            <w:tcW w:w="889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9.</w:t>
            </w:r>
          </w:p>
        </w:tc>
        <w:tc>
          <w:tcPr>
            <w:tcW w:w="889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924" w:type="dxa"/>
        <w:jc w:val="left"/>
        <w:tblInd w:w="0" w:type="dxa"/>
        <w:tblLayout w:type="fixed"/>
        <w:tblCellMar>
          <w:top w:w="28" w:type="dxa"/>
          <w:left w:w="28" w:type="dxa"/>
          <w:bottom w:w="28" w:type="dxa"/>
          <w:right w:w="28" w:type="dxa"/>
        </w:tblCellMar>
      </w:tblPr>
      <w:tblGrid>
        <w:gridCol w:w="3462"/>
        <w:gridCol w:w="3462"/>
      </w:tblGrid>
      <w:tr>
        <w:trPr/>
        <w:tc>
          <w:tcPr>
            <w:tcW w:w="3462" w:type="dxa"/>
            <w:tcBorders/>
            <w:vAlign w:val="center"/>
          </w:tcPr>
          <w:p>
            <w:pPr>
              <w:pStyle w:val="TableContents"/>
              <w:bidi w:val="0"/>
              <w:spacing w:before="0" w:after="0"/>
              <w:jc w:val="left"/>
              <w:rPr/>
            </w:pPr>
            <w:r>
              <w:rPr/>
              <w:t> </w:t>
            </w:r>
          </w:p>
          <w:tbl>
            <w:tblPr>
              <w:tblW w:w="3346" w:type="dxa"/>
              <w:jc w:val="left"/>
              <w:tblInd w:w="0" w:type="dxa"/>
              <w:tblLayout w:type="fixed"/>
              <w:tblCellMar>
                <w:top w:w="28" w:type="dxa"/>
                <w:left w:w="28" w:type="dxa"/>
                <w:bottom w:w="28" w:type="dxa"/>
                <w:right w:w="28" w:type="dxa"/>
              </w:tblCellMar>
            </w:tblPr>
            <w:tblGrid>
              <w:gridCol w:w="3346"/>
            </w:tblGrid>
            <w:tr>
              <w:trPr/>
              <w:tc>
                <w:tcPr>
                  <w:tcW w:w="3346" w:type="dxa"/>
                  <w:tcBorders/>
                  <w:vAlign w:val="center"/>
                </w:tcPr>
                <w:p>
                  <w:pPr>
                    <w:pStyle w:val="TableContents"/>
                    <w:bidi w:val="0"/>
                    <w:spacing w:before="0" w:after="0"/>
                    <w:jc w:val="left"/>
                    <w:rPr/>
                  </w:pPr>
                  <w:r>
                    <w:rPr/>
                    <w:t>Adage Capital Management, L.P.</w:t>
                  </w:r>
                </w:p>
              </w:tc>
            </w:tr>
          </w:tbl>
          <w:p>
            <w:pPr>
              <w:pStyle w:val="TableContents"/>
              <w:bidi w:val="0"/>
              <w:spacing w:before="0" w:after="283"/>
              <w:jc w:val="left"/>
              <w:rPr/>
            </w:pPr>
            <w:r>
              <w:rPr/>
            </w:r>
          </w:p>
        </w:tc>
        <w:tc>
          <w:tcPr>
            <w:tcW w:w="34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5"/>
        <w:gridCol w:w="4310"/>
      </w:tblGrid>
      <w:tr>
        <w:trPr/>
        <w:tc>
          <w:tcPr>
            <w:tcW w:w="58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Robert Atchinson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Adage Capital Partners LLC, its General Partner, By: Robert Atchinson, its Managing Member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310" w:type="dxa"/>
            <w:tcBorders/>
            <w:vAlign w:val="center"/>
          </w:tcPr>
          <w:p>
            <w:pPr>
              <w:pStyle w:val="TableContents"/>
              <w:bidi w:val="0"/>
              <w:spacing w:before="0" w:after="283"/>
              <w:jc w:val="left"/>
              <w:rPr>
                <w:sz w:val="4"/>
                <w:szCs w:val="4"/>
              </w:rPr>
            </w:pPr>
            <w:r>
              <w:rPr>
                <w:sz w:val="4"/>
                <w:szCs w:val="4"/>
              </w:rPr>
            </w:r>
          </w:p>
        </w:tc>
      </w:tr>
    </w:tbl>
    <w:tbl>
      <w:tblPr>
        <w:tblW w:w="3964" w:type="dxa"/>
        <w:jc w:val="left"/>
        <w:tblInd w:w="0" w:type="dxa"/>
        <w:tblLayout w:type="fixed"/>
        <w:tblCellMar>
          <w:top w:w="28" w:type="dxa"/>
          <w:left w:w="28" w:type="dxa"/>
          <w:bottom w:w="28" w:type="dxa"/>
          <w:right w:w="28" w:type="dxa"/>
        </w:tblCellMar>
      </w:tblPr>
      <w:tblGrid>
        <w:gridCol w:w="1982"/>
        <w:gridCol w:w="1982"/>
      </w:tblGrid>
      <w:tr>
        <w:trPr/>
        <w:tc>
          <w:tcPr>
            <w:tcW w:w="1982" w:type="dxa"/>
            <w:tcBorders/>
            <w:vAlign w:val="center"/>
          </w:tcPr>
          <w:p>
            <w:pPr>
              <w:pStyle w:val="TableContents"/>
              <w:bidi w:val="0"/>
              <w:spacing w:before="0" w:after="0"/>
              <w:jc w:val="left"/>
              <w:rPr/>
            </w:pPr>
            <w:r>
              <w:rPr/>
              <w:t> </w:t>
            </w:r>
          </w:p>
          <w:tbl>
            <w:tblPr>
              <w:tblW w:w="1846" w:type="dxa"/>
              <w:jc w:val="left"/>
              <w:tblInd w:w="0" w:type="dxa"/>
              <w:tblLayout w:type="fixed"/>
              <w:tblCellMar>
                <w:top w:w="28" w:type="dxa"/>
                <w:left w:w="28" w:type="dxa"/>
                <w:bottom w:w="28" w:type="dxa"/>
                <w:right w:w="28" w:type="dxa"/>
              </w:tblCellMar>
            </w:tblPr>
            <w:tblGrid>
              <w:gridCol w:w="1846"/>
            </w:tblGrid>
            <w:tr>
              <w:trPr/>
              <w:tc>
                <w:tcPr>
                  <w:tcW w:w="1846" w:type="dxa"/>
                  <w:tcBorders/>
                  <w:vAlign w:val="center"/>
                </w:tcPr>
                <w:p>
                  <w:pPr>
                    <w:pStyle w:val="TableContents"/>
                    <w:bidi w:val="0"/>
                    <w:spacing w:before="0" w:after="0"/>
                    <w:jc w:val="left"/>
                    <w:rPr/>
                  </w:pPr>
                  <w:r>
                    <w:rPr/>
                    <w:t>Robert Atchinson</w:t>
                  </w:r>
                </w:p>
              </w:tc>
            </w:tr>
          </w:tbl>
          <w:p>
            <w:pPr>
              <w:pStyle w:val="TableContents"/>
              <w:bidi w:val="0"/>
              <w:spacing w:before="0" w:after="283"/>
              <w:jc w:val="left"/>
              <w:rPr/>
            </w:pPr>
            <w:r>
              <w:rPr/>
            </w:r>
          </w:p>
        </w:tc>
        <w:tc>
          <w:tcPr>
            <w:tcW w:w="198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2"/>
        <w:gridCol w:w="4303"/>
      </w:tblGrid>
      <w:tr>
        <w:trPr/>
        <w:tc>
          <w:tcPr>
            <w:tcW w:w="59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Robert Atchinson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Robert Atchinson, individually</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303" w:type="dxa"/>
            <w:tcBorders/>
            <w:vAlign w:val="center"/>
          </w:tcPr>
          <w:p>
            <w:pPr>
              <w:pStyle w:val="TableContents"/>
              <w:bidi w:val="0"/>
              <w:spacing w:before="0" w:after="283"/>
              <w:jc w:val="left"/>
              <w:rPr>
                <w:sz w:val="4"/>
                <w:szCs w:val="4"/>
              </w:rPr>
            </w:pPr>
            <w:r>
              <w:rPr>
                <w:sz w:val="4"/>
                <w:szCs w:val="4"/>
              </w:rPr>
            </w:r>
          </w:p>
        </w:tc>
      </w:tr>
    </w:tbl>
    <w:tbl>
      <w:tblPr>
        <w:tblW w:w="3000" w:type="dxa"/>
        <w:jc w:val="left"/>
        <w:tblInd w:w="0" w:type="dxa"/>
        <w:tblLayout w:type="fixed"/>
        <w:tblCellMar>
          <w:top w:w="28" w:type="dxa"/>
          <w:left w:w="28" w:type="dxa"/>
          <w:bottom w:w="28" w:type="dxa"/>
          <w:right w:w="28" w:type="dxa"/>
        </w:tblCellMar>
      </w:tblPr>
      <w:tblGrid>
        <w:gridCol w:w="1500"/>
        <w:gridCol w:w="1500"/>
      </w:tblGrid>
      <w:tr>
        <w:trPr/>
        <w:tc>
          <w:tcPr>
            <w:tcW w:w="1500" w:type="dxa"/>
            <w:tcBorders/>
            <w:vAlign w:val="center"/>
          </w:tcPr>
          <w:p>
            <w:pPr>
              <w:pStyle w:val="TableContents"/>
              <w:bidi w:val="0"/>
              <w:spacing w:before="0" w:after="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0"/>
                    <w:jc w:val="left"/>
                    <w:rPr/>
                  </w:pPr>
                  <w:r>
                    <w:rPr/>
                    <w:t>Phillip Gross</w:t>
                  </w:r>
                </w:p>
              </w:tc>
            </w:tr>
          </w:tbl>
          <w:p>
            <w:pPr>
              <w:pStyle w:val="TableContents"/>
              <w:bidi w:val="0"/>
              <w:spacing w:before="0" w:after="283"/>
              <w:jc w:val="left"/>
              <w:rPr/>
            </w:pPr>
            <w:r>
              <w:rPr/>
            </w:r>
          </w:p>
        </w:tc>
        <w:tc>
          <w:tcPr>
            <w:tcW w:w="1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39"/>
        <w:gridCol w:w="4466"/>
      </w:tblGrid>
      <w:tr>
        <w:trPr/>
        <w:tc>
          <w:tcPr>
            <w:tcW w:w="57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/s/ Phillip Gross</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Phillip Gross, individually</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4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1574</Words>
  <Characters>8066</Characters>
  <CharactersWithSpaces>9594</CharactersWithSpaces>
  <Paragraphs>255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