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MINDS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Vestal 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492,319.00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492,319.00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492,319.00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Ryan Wilder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492,319.00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492,319.00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492,319.00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8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BRIGHT MINDS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1122 Mainland St #228, Vancouver British Columbia V6B 5L1.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60"/>
        <w:spacing w:after="0" w:line="249" w:lineRule="auto"/>
        <w:rPr>
          <w:sz w:val="20"/>
          <w:szCs w:val="20"/>
          <w:color w:val="auto"/>
        </w:rPr>
      </w:pPr>
      <w:r>
        <w:rPr>
          <w:rFonts w:ascii="Times New Roman" w:cs="Times New Roman" w:eastAsia="Times New Roman" w:hAnsi="Times New Roman"/>
          <w:sz w:val="21"/>
          <w:szCs w:val="21"/>
          <w:color w:val="auto"/>
        </w:rPr>
        <w:t>This statement is filed by: (i) Vestal Point Capital, LP (the "Investment Manager"), a Delaware limited partnership, and the investment adviser to a certain fund and a managed account (the "Vestal Point Fund and Account"), with respect to the common, no par value (the "Common Shares"), of BRIGHT MIND BIOSCIENCES INC. (the</w:t>
      </w:r>
    </w:p>
    <w:p>
      <w:pPr>
        <w:spacing w:after="0" w:line="1" w:lineRule="exact"/>
        <w:rPr>
          <w:sz w:val="20"/>
          <w:szCs w:val="20"/>
          <w:color w:val="auto"/>
        </w:rPr>
      </w:pPr>
    </w:p>
    <w:p>
      <w:pPr>
        <w:ind w:left="920" w:right="40" w:hanging="912"/>
        <w:spacing w:after="0" w:line="204"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Common Shares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p>
      <w:pPr>
        <w:sectPr>
          <w:pgSz w:w="11900" w:h="16838" w:orient="portrait"/>
          <w:cols w:equalWidth="0" w:num="1">
            <w:col w:w="11120"/>
          </w:cols>
          <w:pgMar w:left="360" w:top="111" w:right="41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632 Broadway, Suite 602, New York, NY 10012.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Investment Manager is a Delaware limited partnership. Mr. Wilder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jc w:val="both"/>
        <w:ind w:left="9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w:t>
      </w:r>
    </w:p>
    <w:p>
      <w:pPr>
        <w:sectPr>
          <w:pgSz w:w="11900" w:h="16838" w:orient="portrait"/>
          <w:cols w:equalWidth="0" w:num="1">
            <w:col w:w="11120"/>
          </w:cols>
          <w:pgMar w:left="360" w:top="111" w:right="419" w:bottom="0" w:gutter="0" w:footer="0" w:header="0"/>
          <w:type w:val="continuous"/>
        </w:sectPr>
      </w:pPr>
    </w:p>
    <w:bookmarkStart w:id="3" w:name="page4"/>
    <w:bookmarkEnd w:id="3"/>
    <w:p>
      <w:pPr>
        <w:spacing w:after="0" w:line="46" w:lineRule="exact"/>
        <w:rPr>
          <w:sz w:val="20"/>
          <w:szCs w:val="20"/>
          <w:color w:val="auto"/>
        </w:rPr>
      </w:pPr>
    </w:p>
    <w:p>
      <w:pPr>
        <w:ind w:left="920" w:right="140"/>
        <w:spacing w:after="0" w:line="244" w:lineRule="auto"/>
        <w:rPr>
          <w:sz w:val="20"/>
          <w:szCs w:val="20"/>
          <w:color w:val="auto"/>
        </w:rPr>
      </w:pPr>
      <w:r>
        <w:rPr>
          <w:rFonts w:ascii="Times New Roman" w:cs="Times New Roman" w:eastAsia="Times New Roman" w:hAnsi="Times New Roman"/>
          <w:sz w:val="22"/>
          <w:szCs w:val="22"/>
          <w:color w:val="auto"/>
        </w:rPr>
        <w:t>of 9,787,161 Common Shares outstanding as of February 12, 2026, as reported in the Company's Management Discussion and Analysis attached as Exhibit 99.2 to the Report of Foreign Private Issuer on Form 6-K, filed with the Securities and Exchange Commission on February 13, 2026.</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4"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See Item 2(a). The Vestal Point Fund and Account have the right to receive or the power to direct the receipt of dividends from, or the proceeds from the sale of, the Common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4"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Vestal Point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Wilder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By: Vestal Point Capital, LLC, General Partner,</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Ryan Wilder, Chief Investment Officer and</w:t>
      </w:r>
    </w:p>
    <w:p>
      <w:pPr>
        <w:sectPr>
          <w:pgSz w:w="11900" w:h="16884" w:orient="portrait"/>
          <w:cols w:equalWidth="0" w:num="1">
            <w:col w:w="11140"/>
          </w:cols>
          <w:pgMar w:left="360" w:top="112" w:right="399" w:bottom="0" w:gutter="0" w:footer="0" w:header="0"/>
          <w:type w:val="continuous"/>
        </w:sectPr>
      </w:pPr>
    </w:p>
    <w:bookmarkStart w:id="4" w:name="page5"/>
    <w:bookmarkEnd w:id="4"/>
    <w:p>
      <w:pPr>
        <w:ind w:left="6740"/>
        <w:spacing w:after="0"/>
        <w:rPr>
          <w:sz w:val="20"/>
          <w:szCs w:val="20"/>
          <w:color w:val="auto"/>
        </w:rPr>
      </w:pPr>
      <w:r>
        <w:rPr>
          <w:rFonts w:ascii="Times New Roman" w:cs="Times New Roman" w:eastAsia="Times New Roman" w:hAnsi="Times New Roman"/>
          <w:sz w:val="21"/>
          <w:szCs w:val="21"/>
          <w:color w:val="auto"/>
        </w:rPr>
        <w:t>Managing Partner</w:t>
      </w:r>
    </w:p>
    <w:p>
      <w:pPr>
        <w:spacing w:after="0" w:line="56"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Ryan Wilder</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Wilder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Ryan Wilder, Individually</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2026</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VESTAL POINT CAPITAL, LP</w:t>
      </w:r>
    </w:p>
    <w:p>
      <w:pPr>
        <w:spacing w:after="0" w:line="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By: VESTAL POINT CAPITAL, LLC, General Partner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By: /s/ Ryan Wilder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-10795</wp:posOffset>
            </wp:positionV>
            <wp:extent cx="1005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Ryan Wilder</w:t>
      </w:r>
    </w:p>
    <w:p>
      <w:pPr>
        <w:ind w:left="5960"/>
        <w:spacing w:after="0"/>
        <w:tabs>
          <w:tab w:leader="none" w:pos="65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Investment Officer and Managing Partner</w:t>
      </w:r>
    </w:p>
    <w:p>
      <w:pPr>
        <w:spacing w:after="0" w:line="200" w:lineRule="exact"/>
        <w:rPr>
          <w:sz w:val="20"/>
          <w:szCs w:val="20"/>
          <w:color w:val="auto"/>
        </w:rPr>
      </w:pPr>
    </w:p>
    <w:p>
      <w:pPr>
        <w:spacing w:after="0" w:line="23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/s/ Ryan Wilder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-10795</wp:posOffset>
            </wp:positionV>
            <wp:extent cx="12249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RYAN WILDER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2026-05-15T16:16:10Z</dcterms:created>
  <dcterms:modified xsi:type="dcterms:W3CDTF">2026-05-15T16:16:10Z</dcterms:modified>
</cp:coreProperties>
</file>