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BRIGHT MINDS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Cormorant Asset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950,000.00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950,000.00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Chen Bihua</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950,000.00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950,000.00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950,000.00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9.71 %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BRIGHT MINDS BIOSCIENCES INC.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N Aberdeen Street, Suite 900, Chicago, Illinois, 60642</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Cormorant Asset Management, LP Bihua Chen This statement is filed by (i) Cormorant Asset Management, LP, a Delaware limited partnership, and the investment adviser to certain funds (the "Cormorant Funds"), with respect to the shares directly held by the Cormorant Funds and (ii) Bihua Chen with respect to the shares directly held by the Cormorant Funds. The foregoing persons are hereinafter sometimes collectively referred to as the "Reporting Persons." The filing of this statement should not be construed as an admission that any of the foregoing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 Clarendon Street, 52nd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Citizenship: </w:t>
            </w:r>
          </w:p>
          <w:p>
            <w:pPr>
              <w:pStyle w:val="TableContents"/>
              <w:bidi w:val="0"/>
              <w:spacing w:before="0" w:after="0"/>
              <w:jc w:val="left"/>
              <w:rPr/>
            </w:pPr>
            <w:r>
              <w:rPr/>
              <w:t>Cormorant Asset Management, LP - Delaware Bihua Chen - United States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(d)</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(e)</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(g)</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(h)</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(j)</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(k)</w:t>
            </w:r>
          </w:p>
        </w:tc>
        <w:tc>
          <w:tcPr>
            <w:tcW w:w="891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9066" w:type="dxa"/>
            <w:gridSpan w:val="2"/>
            <w:tcBorders/>
            <w:vAlign w:val="center"/>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950,000</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9.71%  %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950,000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950,000 Shares reported herein for Cormorant Asset Management, LP ("Cormorant") represent shares which are beneficially owned by Cormorant Global Healthcare Master Fund, LP (the "Master Fund"). Cormorant Global Healthcare GP, LLC ("GP LLC") serves as the general partner of the Master Fund. Cormorant serves as the investment manager of the Master Fund. Bihua Chen serves as the managing member of GP, LLC and the general partner of Cormorant. Each of the Reporting Persons disclaims beneficial ownership of the shares reported herein except to the extent of its or her pecuniary interest therein. The percentages reported herein with respect to the Reporting Persons' holdings are calculated based upon a statement in the Issuer's Management Discussion and Analysis attached as Exhibit 99.2 to the Report of Foreign Private Issuer on Form 6-K filed with the Securities and Exchange Commission on February 13, 2026 that there were 9,787,161 Common Shares outstanding as of February 12,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4. The Cormorant Funds have the right to receive or the power to direct the receipt of dividends from, or the proceeds from the sale of, the shares reported herein. Cormorant Global Healthcare Master Fund, LP, a Cormorant Fund, has the right to receive or the power to direct the receipt of dividends or the proceeds from the sale of more than 5% of the shares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8.</w:t>
            </w:r>
          </w:p>
        </w:tc>
        <w:tc>
          <w:tcPr>
            <w:tcW w:w="891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9.</w:t>
            </w:r>
          </w:p>
        </w:tc>
        <w:tc>
          <w:tcPr>
            <w:tcW w:w="891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Cormorant Asset Management, LP</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Bihua Chen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Bihua Chen,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2838" w:type="dxa"/>
        <w:jc w:val="left"/>
        <w:tblInd w:w="0" w:type="dxa"/>
        <w:tblLayout w:type="fixed"/>
        <w:tblCellMar>
          <w:top w:w="28" w:type="dxa"/>
          <w:left w:w="28" w:type="dxa"/>
          <w:bottom w:w="28" w:type="dxa"/>
          <w:right w:w="28" w:type="dxa"/>
        </w:tblCellMar>
      </w:tblPr>
      <w:tblGrid>
        <w:gridCol w:w="1419"/>
        <w:gridCol w:w="1419"/>
      </w:tblGrid>
      <w:tr>
        <w:trPr/>
        <w:tc>
          <w:tcPr>
            <w:tcW w:w="1419" w:type="dxa"/>
            <w:tcBorders/>
            <w:vAlign w:val="center"/>
          </w:tcPr>
          <w:p>
            <w:pPr>
              <w:pStyle w:val="TableContents"/>
              <w:bidi w:val="0"/>
              <w:spacing w:before="0" w:after="0"/>
              <w:jc w:val="left"/>
              <w:rPr/>
            </w:pPr>
            <w:r>
              <w:rPr/>
              <w:t> </w:t>
            </w:r>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vAlign w:val="center"/>
                </w:tcPr>
                <w:p>
                  <w:pPr>
                    <w:pStyle w:val="TableContents"/>
                    <w:bidi w:val="0"/>
                    <w:spacing w:before="0" w:after="0"/>
                    <w:jc w:val="left"/>
                    <w:rPr/>
                  </w:pPr>
                  <w:r>
                    <w:rPr/>
                    <w:t>Chen Bihua</w:t>
                  </w:r>
                </w:p>
              </w:tc>
            </w:tr>
          </w:tbl>
          <w:p>
            <w:pPr>
              <w:pStyle w:val="TableContents"/>
              <w:bidi w:val="0"/>
              <w:spacing w:before="0" w:after="283"/>
              <w:jc w:val="left"/>
              <w:rPr/>
            </w:pPr>
            <w:r>
              <w:rPr/>
            </w:r>
          </w:p>
        </w:tc>
        <w:tc>
          <w:tcPr>
            <w:tcW w:w="1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3"/>
        <w:gridCol w:w="4492"/>
      </w:tblGrid>
      <w:tr>
        <w:trPr/>
        <w:tc>
          <w:tcPr>
            <w:tcW w:w="57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Bihua Chen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Bihua Chen</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4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Agreement by and among the Reporting Persons, incorporated by reference to Exhibit 99.1 to the Schedule 13G filed by the Reporting Persons with the Securities and Exchange Commission on October 22, 2024</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1315</Words>
  <Characters>6752</Characters>
  <CharactersWithSpaces>8036</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